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73B" w:rsidRDefault="0048073B" w:rsidP="0048073B">
      <w:pPr>
        <w:spacing w:after="0" w:line="320" w:lineRule="exact"/>
        <w:ind w:hanging="10"/>
        <w:jc w:val="right"/>
        <w:rPr>
          <w:rFonts w:asciiTheme="minorHAnsi" w:hAnsiTheme="minorHAnsi" w:cstheme="minorHAnsi"/>
        </w:rPr>
      </w:pPr>
      <w:bookmarkStart w:id="0" w:name="_Hlk221538997"/>
      <w:r w:rsidRPr="00275DEB">
        <w:rPr>
          <w:rFonts w:asciiTheme="minorHAnsi" w:hAnsiTheme="minorHAnsi" w:cstheme="minorHAnsi"/>
        </w:rPr>
        <w:t xml:space="preserve">Załącznik nr 1 do Zapytania ofertowego </w:t>
      </w:r>
      <w:bookmarkEnd w:id="0"/>
    </w:p>
    <w:p w:rsidR="0048073B" w:rsidRPr="00275DEB" w:rsidRDefault="0048073B" w:rsidP="0048073B">
      <w:pPr>
        <w:spacing w:after="0" w:line="320" w:lineRule="exact"/>
        <w:ind w:hanging="1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SZ-26.17.2026</w:t>
      </w:r>
    </w:p>
    <w:p w:rsidR="0048073B" w:rsidRPr="00275DEB" w:rsidRDefault="0048073B" w:rsidP="0048073B">
      <w:pPr>
        <w:spacing w:after="0" w:line="320" w:lineRule="exact"/>
        <w:rPr>
          <w:rFonts w:asciiTheme="minorHAnsi" w:hAnsiTheme="minorHAnsi" w:cstheme="minorHAnsi"/>
        </w:rPr>
      </w:pPr>
    </w:p>
    <w:p w:rsidR="0048073B" w:rsidRPr="00155102" w:rsidRDefault="0048073B" w:rsidP="0048073B">
      <w:pPr>
        <w:pStyle w:val="Tekstpodstawowy"/>
        <w:jc w:val="both"/>
        <w:rPr>
          <w:rFonts w:asciiTheme="minorHAnsi" w:hAnsiTheme="minorHAnsi" w:cstheme="minorHAnsi"/>
        </w:rPr>
      </w:pPr>
    </w:p>
    <w:p w:rsidR="0048073B" w:rsidRPr="00155102" w:rsidRDefault="0048073B" w:rsidP="0048073B">
      <w:pPr>
        <w:pStyle w:val="Tekstpodstawowy"/>
        <w:rPr>
          <w:rFonts w:asciiTheme="minorHAnsi" w:hAnsiTheme="minorHAnsi" w:cstheme="minorHAnsi"/>
          <w:b/>
        </w:rPr>
      </w:pPr>
      <w:r w:rsidRPr="00155102">
        <w:rPr>
          <w:rFonts w:asciiTheme="minorHAnsi" w:hAnsiTheme="minorHAnsi" w:cstheme="minorHAnsi"/>
          <w:b/>
        </w:rPr>
        <w:t>Opis przedmiotu zamówienia</w:t>
      </w:r>
    </w:p>
    <w:p w:rsidR="00C856E5" w:rsidRDefault="00C856E5"/>
    <w:p w:rsidR="0048073B" w:rsidRPr="0048073B" w:rsidRDefault="0048073B" w:rsidP="0048073B">
      <w:pPr>
        <w:pStyle w:val="Akapitzlist"/>
        <w:tabs>
          <w:tab w:val="left" w:pos="0"/>
          <w:tab w:val="right" w:leader="dot" w:pos="9639"/>
        </w:tabs>
        <w:spacing w:after="120"/>
        <w:ind w:left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bookmarkStart w:id="1" w:name="_Hlk226023753"/>
      <w:r w:rsidRPr="0048073B">
        <w:rPr>
          <w:rFonts w:asciiTheme="minorHAnsi" w:hAnsiTheme="minorHAnsi" w:cstheme="minorHAnsi"/>
          <w:b/>
          <w:sz w:val="22"/>
          <w:szCs w:val="22"/>
        </w:rPr>
        <w:t>Spektrofotometr do pomiarów barwy i połysku powierzchni</w:t>
      </w:r>
    </w:p>
    <w:bookmarkEnd w:id="1"/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  <w:b/>
        </w:rPr>
      </w:pPr>
      <w:r w:rsidRPr="0048073B">
        <w:rPr>
          <w:rFonts w:asciiTheme="minorHAnsi" w:hAnsiTheme="minorHAnsi" w:cstheme="minorHAnsi"/>
          <w:b/>
        </w:rPr>
        <w:t>Pomiary barwy: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Geometria pomiaru: 45</w:t>
      </w:r>
      <w:r w:rsidRPr="0048073B">
        <w:rPr>
          <w:rFonts w:asciiTheme="minorHAnsi" w:hAnsiTheme="minorHAnsi" w:cstheme="minorHAnsi"/>
        </w:rPr>
        <w:sym w:font="Symbol" w:char="F0B0"/>
      </w:r>
      <w:r w:rsidRPr="0048073B">
        <w:rPr>
          <w:rFonts w:asciiTheme="minorHAnsi" w:hAnsiTheme="minorHAnsi" w:cstheme="minorHAnsi"/>
        </w:rPr>
        <w:t>c:0</w:t>
      </w:r>
      <w:r w:rsidRPr="0048073B">
        <w:rPr>
          <w:rFonts w:asciiTheme="minorHAnsi" w:hAnsiTheme="minorHAnsi" w:cstheme="minorHAnsi"/>
        </w:rPr>
        <w:sym w:font="Symbol" w:char="F0B0"/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Zgodność z normami: CIE nr 15 (2004)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Element rozszczepiający: siatka dyfrakcyjna</w:t>
      </w:r>
      <w:bookmarkStart w:id="2" w:name="_GoBack"/>
      <w:bookmarkEnd w:id="2"/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Zakres widmowy: 360nm - 740nm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Rozdzielczość widmowa: ≤10nm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 xml:space="preserve">Zakres </w:t>
      </w:r>
      <w:proofErr w:type="spellStart"/>
      <w:r w:rsidRPr="0048073B">
        <w:rPr>
          <w:rFonts w:asciiTheme="minorHAnsi" w:hAnsiTheme="minorHAnsi" w:cstheme="minorHAnsi"/>
        </w:rPr>
        <w:t>reflektancji</w:t>
      </w:r>
      <w:proofErr w:type="spellEnd"/>
      <w:r w:rsidRPr="0048073B">
        <w:rPr>
          <w:rFonts w:asciiTheme="minorHAnsi" w:hAnsiTheme="minorHAnsi" w:cstheme="minorHAnsi"/>
        </w:rPr>
        <w:t>: 0 ÷ 170% (rozdzielczość 0,01%)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Obserwator normalny: 2</w:t>
      </w:r>
      <w:r w:rsidRPr="0048073B">
        <w:rPr>
          <w:rFonts w:asciiTheme="minorHAnsi" w:hAnsiTheme="minorHAnsi" w:cstheme="minorHAnsi"/>
        </w:rPr>
        <w:sym w:font="Symbol" w:char="F0B0"/>
      </w:r>
      <w:r w:rsidRPr="0048073B">
        <w:rPr>
          <w:rFonts w:asciiTheme="minorHAnsi" w:hAnsiTheme="minorHAnsi" w:cstheme="minorHAnsi"/>
        </w:rPr>
        <w:t xml:space="preserve"> i 10</w:t>
      </w:r>
      <w:r w:rsidRPr="0048073B">
        <w:rPr>
          <w:rFonts w:asciiTheme="minorHAnsi" w:hAnsiTheme="minorHAnsi" w:cstheme="minorHAnsi"/>
        </w:rPr>
        <w:sym w:font="Symbol" w:char="F0B0"/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 xml:space="preserve">Źródło światła: ksenonowa lampa wyładowcza 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 xml:space="preserve">Oświetlacz: </w:t>
      </w:r>
      <w:proofErr w:type="spellStart"/>
      <w:r w:rsidRPr="0048073B">
        <w:rPr>
          <w:rFonts w:asciiTheme="minorHAnsi" w:hAnsiTheme="minorHAnsi" w:cstheme="minorHAnsi"/>
        </w:rPr>
        <w:t>iluminant</w:t>
      </w:r>
      <w:proofErr w:type="spellEnd"/>
      <w:r w:rsidRPr="0048073B">
        <w:rPr>
          <w:rFonts w:asciiTheme="minorHAnsi" w:hAnsiTheme="minorHAnsi" w:cstheme="minorHAnsi"/>
        </w:rPr>
        <w:t xml:space="preserve"> A, C, D65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 xml:space="preserve">Pole pomiaru: </w:t>
      </w:r>
      <w:r w:rsidRPr="0048073B">
        <w:rPr>
          <w:rFonts w:asciiTheme="minorHAnsi" w:hAnsiTheme="minorHAnsi" w:cstheme="minorHAnsi"/>
        </w:rPr>
        <w:sym w:font="Symbol" w:char="F020"/>
      </w:r>
      <w:r w:rsidRPr="0048073B">
        <w:rPr>
          <w:rFonts w:asciiTheme="minorHAnsi" w:hAnsiTheme="minorHAnsi" w:cstheme="minorHAnsi"/>
        </w:rPr>
        <w:sym w:font="Symbol" w:char="F066"/>
      </w:r>
      <w:r w:rsidRPr="0048073B">
        <w:rPr>
          <w:rFonts w:asciiTheme="minorHAnsi" w:hAnsiTheme="minorHAnsi" w:cstheme="minorHAnsi"/>
        </w:rPr>
        <w:t xml:space="preserve"> 8÷12mm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 xml:space="preserve">Powtarzalność wyników: wartości chromatyczności odchylenie standardowe </w:t>
      </w:r>
      <w:r w:rsidRPr="0048073B">
        <w:rPr>
          <w:rFonts w:asciiTheme="minorHAnsi" w:hAnsiTheme="minorHAnsi" w:cstheme="minorHAnsi"/>
        </w:rPr>
        <w:sym w:font="Symbol" w:char="F044"/>
      </w:r>
      <w:r w:rsidRPr="0048073B">
        <w:rPr>
          <w:rFonts w:asciiTheme="minorHAnsi" w:hAnsiTheme="minorHAnsi" w:cstheme="minorHAnsi"/>
        </w:rPr>
        <w:t>E*ab ≤ 0,1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 xml:space="preserve">Zgodność </w:t>
      </w:r>
      <w:proofErr w:type="spellStart"/>
      <w:r w:rsidRPr="0048073B">
        <w:rPr>
          <w:rFonts w:asciiTheme="minorHAnsi" w:hAnsiTheme="minorHAnsi" w:cstheme="minorHAnsi"/>
        </w:rPr>
        <w:t>międzyprzyrządowa</w:t>
      </w:r>
      <w:proofErr w:type="spellEnd"/>
      <w:r w:rsidRPr="0048073B">
        <w:rPr>
          <w:rFonts w:asciiTheme="minorHAnsi" w:hAnsiTheme="minorHAnsi" w:cstheme="minorHAnsi"/>
        </w:rPr>
        <w:t xml:space="preserve">: </w:t>
      </w:r>
      <w:r w:rsidRPr="0048073B">
        <w:rPr>
          <w:rFonts w:asciiTheme="minorHAnsi" w:hAnsiTheme="minorHAnsi" w:cstheme="minorHAnsi"/>
        </w:rPr>
        <w:sym w:font="Symbol" w:char="F044"/>
      </w:r>
      <w:r w:rsidRPr="0048073B">
        <w:rPr>
          <w:rFonts w:asciiTheme="minorHAnsi" w:hAnsiTheme="minorHAnsi" w:cstheme="minorHAnsi"/>
        </w:rPr>
        <w:t>E*ab ≤ 0,2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Wyświetlane wartości: wartości spektralne (cyfrowe i na wykresie), wartości kolorymetryczne (cyfrowe i na wykresie), różnica barwy, ocena zgodności wyniku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 xml:space="preserve">Wartości kolorymetryczne: L*a*b, </w:t>
      </w:r>
      <w:proofErr w:type="spellStart"/>
      <w:r w:rsidRPr="0048073B">
        <w:rPr>
          <w:rFonts w:asciiTheme="minorHAnsi" w:hAnsiTheme="minorHAnsi" w:cstheme="minorHAnsi"/>
        </w:rPr>
        <w:t>Yxy</w:t>
      </w:r>
      <w:proofErr w:type="spellEnd"/>
      <w:r w:rsidRPr="0048073B">
        <w:rPr>
          <w:rFonts w:asciiTheme="minorHAnsi" w:hAnsiTheme="minorHAnsi" w:cstheme="minorHAnsi"/>
        </w:rPr>
        <w:t xml:space="preserve">, XYZ, </w:t>
      </w:r>
      <w:r w:rsidRPr="0048073B">
        <w:rPr>
          <w:rFonts w:asciiTheme="minorHAnsi" w:hAnsiTheme="minorHAnsi" w:cstheme="minorHAnsi"/>
        </w:rPr>
        <w:sym w:font="Symbol" w:char="F044"/>
      </w:r>
      <w:r w:rsidRPr="0048073B">
        <w:rPr>
          <w:rFonts w:asciiTheme="minorHAnsi" w:hAnsiTheme="minorHAnsi" w:cstheme="minorHAnsi"/>
        </w:rPr>
        <w:t xml:space="preserve">E*ab, </w:t>
      </w:r>
      <w:r w:rsidRPr="0048073B">
        <w:rPr>
          <w:rFonts w:asciiTheme="minorHAnsi" w:hAnsiTheme="minorHAnsi" w:cstheme="minorHAnsi"/>
        </w:rPr>
        <w:sym w:font="Symbol" w:char="F044"/>
      </w:r>
      <w:r w:rsidRPr="0048073B">
        <w:rPr>
          <w:rFonts w:asciiTheme="minorHAnsi" w:hAnsiTheme="minorHAnsi" w:cstheme="minorHAnsi"/>
        </w:rPr>
        <w:t xml:space="preserve">E*94, </w:t>
      </w:r>
      <w:r w:rsidRPr="0048073B">
        <w:rPr>
          <w:rFonts w:asciiTheme="minorHAnsi" w:hAnsiTheme="minorHAnsi" w:cstheme="minorHAnsi"/>
        </w:rPr>
        <w:sym w:font="Symbol" w:char="F044"/>
      </w:r>
      <w:r w:rsidRPr="0048073B">
        <w:rPr>
          <w:rFonts w:asciiTheme="minorHAnsi" w:hAnsiTheme="minorHAnsi" w:cstheme="minorHAnsi"/>
        </w:rPr>
        <w:t>E*00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  <w:b/>
        </w:rPr>
      </w:pPr>
      <w:r w:rsidRPr="0048073B">
        <w:rPr>
          <w:rFonts w:asciiTheme="minorHAnsi" w:hAnsiTheme="minorHAnsi" w:cstheme="minorHAnsi"/>
          <w:b/>
        </w:rPr>
        <w:t>Pomiary połysku: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Kat pomiaru: 60</w:t>
      </w:r>
      <w:r w:rsidRPr="0048073B">
        <w:rPr>
          <w:rFonts w:asciiTheme="minorHAnsi" w:hAnsiTheme="minorHAnsi" w:cstheme="minorHAnsi"/>
        </w:rPr>
        <w:sym w:font="Symbol" w:char="F0B0"/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Zakres pomiarowy: 2÷200 GU (rozdzielczość 0,01 GU)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Powtarzalność wyników: odchylenie standardowe dla zakresu 0÷10 GU ±0,2 GU; 10÷100 GU ±0,5 GU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  <w:b/>
        </w:rPr>
      </w:pPr>
      <w:r w:rsidRPr="0048073B">
        <w:rPr>
          <w:rFonts w:asciiTheme="minorHAnsi" w:hAnsiTheme="minorHAnsi" w:cstheme="minorHAnsi"/>
          <w:b/>
        </w:rPr>
        <w:t>Parametry ogólne: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Czas pomiaru: ≤ 5sek (od wciśnięcia przycisku)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Urządzenie przenośne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Zintegrowany wyświetlacz do prezentacji wyników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Język interfejsu: angielski lub polski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Zasilanie: wymienna bateria oraz sieciowe (w komplecie dedykowany zasilacz AC 230V)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Wydajność baterii: ~ 2000 pomiarów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Pamięć kalibracji i wyników pomiarów: 2000 pomiarów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Złącze USB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Wymiary urządzenia: ≤ 100 x 100 x 250 mm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Masa: ≤ 1kg (wraz z baterią)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Temperatura robocza: 10 ÷ 30</w:t>
      </w:r>
      <w:r w:rsidRPr="0048073B">
        <w:rPr>
          <w:rFonts w:asciiTheme="minorHAnsi" w:hAnsiTheme="minorHAnsi" w:cstheme="minorHAnsi"/>
        </w:rPr>
        <w:sym w:font="Symbol" w:char="F0B0"/>
      </w:r>
      <w:r w:rsidRPr="0048073B">
        <w:rPr>
          <w:rFonts w:asciiTheme="minorHAnsi" w:hAnsiTheme="minorHAnsi" w:cstheme="minorHAnsi"/>
        </w:rPr>
        <w:t>C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Zestaw płytek wzorcowych do kalibracji urządzenia</w:t>
      </w:r>
    </w:p>
    <w:p w:rsidR="0048073B" w:rsidRPr="0048073B" w:rsidRDefault="0048073B" w:rsidP="0048073B">
      <w:pPr>
        <w:spacing w:after="0" w:line="300" w:lineRule="exact"/>
        <w:ind w:left="568"/>
        <w:rPr>
          <w:rFonts w:asciiTheme="minorHAnsi" w:hAnsiTheme="minorHAnsi" w:cstheme="minorHAnsi"/>
        </w:rPr>
      </w:pPr>
      <w:r w:rsidRPr="0048073B">
        <w:rPr>
          <w:rFonts w:asciiTheme="minorHAnsi" w:hAnsiTheme="minorHAnsi" w:cstheme="minorHAnsi"/>
        </w:rPr>
        <w:t>Protokół kalibracji urządzenia</w:t>
      </w:r>
    </w:p>
    <w:p w:rsidR="0048073B" w:rsidRDefault="0048073B" w:rsidP="0048073B">
      <w:pPr>
        <w:spacing w:after="0" w:line="300" w:lineRule="exact"/>
      </w:pPr>
    </w:p>
    <w:sectPr w:rsidR="0048073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681" w:rsidRDefault="00296681" w:rsidP="00E81CC1">
      <w:pPr>
        <w:spacing w:after="0" w:line="240" w:lineRule="auto"/>
      </w:pPr>
      <w:r>
        <w:separator/>
      </w:r>
    </w:p>
  </w:endnote>
  <w:endnote w:type="continuationSeparator" w:id="0">
    <w:p w:rsidR="00296681" w:rsidRDefault="00296681" w:rsidP="00E8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681" w:rsidRDefault="00296681" w:rsidP="00E81CC1">
      <w:pPr>
        <w:spacing w:after="0" w:line="240" w:lineRule="auto"/>
      </w:pPr>
      <w:r>
        <w:separator/>
      </w:r>
    </w:p>
  </w:footnote>
  <w:footnote w:type="continuationSeparator" w:id="0">
    <w:p w:rsidR="00296681" w:rsidRDefault="00296681" w:rsidP="00E81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CC1" w:rsidRDefault="00E81CC1">
    <w:pPr>
      <w:pStyle w:val="Nagwek"/>
    </w:pPr>
    <w:r w:rsidRPr="00E24070">
      <w:rPr>
        <w:noProof/>
      </w:rPr>
      <w:drawing>
        <wp:inline distT="0" distB="0" distL="0" distR="0" wp14:anchorId="4A701C3B" wp14:editId="49F7E19E">
          <wp:extent cx="1606961" cy="676196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049" cy="6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1CC1" w:rsidRDefault="00E81CC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3B"/>
    <w:rsid w:val="00296681"/>
    <w:rsid w:val="0048073B"/>
    <w:rsid w:val="00A370BC"/>
    <w:rsid w:val="00C856E5"/>
    <w:rsid w:val="00E8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874D6"/>
  <w15:chartTrackingRefBased/>
  <w15:docId w15:val="{7CC0AAC5-7955-48EA-A3AA-765B3B75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8073B"/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48073B"/>
    <w:pPr>
      <w:spacing w:after="0" w:line="240" w:lineRule="auto"/>
      <w:jc w:val="center"/>
    </w:pPr>
    <w:rPr>
      <w:rFonts w:ascii="Arial" w:eastAsia="Times New Roman" w:hAnsi="Arial" w:cs="Arial"/>
      <w:color w:val="auto"/>
    </w:rPr>
  </w:style>
  <w:style w:type="character" w:customStyle="1" w:styleId="TekstpodstawowyZnak">
    <w:name w:val="Tekst podstawowy Znak"/>
    <w:basedOn w:val="Domylnaczcionkaakapitu"/>
    <w:link w:val="Tekstpodstawowy"/>
    <w:rsid w:val="0048073B"/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4807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81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CC1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1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CC1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Mróz</dc:creator>
  <cp:keywords/>
  <dc:description/>
  <cp:lastModifiedBy>Bożena Mróz</cp:lastModifiedBy>
  <cp:revision>2</cp:revision>
  <dcterms:created xsi:type="dcterms:W3CDTF">2026-04-02T09:52:00Z</dcterms:created>
  <dcterms:modified xsi:type="dcterms:W3CDTF">2026-04-02T10:55:00Z</dcterms:modified>
</cp:coreProperties>
</file>